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6E" w:rsidRDefault="00BD2A6E" w:rsidP="00BD2A6E">
      <w:pPr>
        <w:pStyle w:val="Default"/>
      </w:pPr>
    </w:p>
    <w:p w:rsidR="00BD2A6E" w:rsidRPr="00BD2A6E" w:rsidRDefault="00BD2A6E" w:rsidP="00BD2A6E">
      <w:pPr>
        <w:pStyle w:val="Default"/>
        <w:jc w:val="center"/>
        <w:rPr>
          <w:sz w:val="32"/>
          <w:szCs w:val="32"/>
        </w:rPr>
      </w:pPr>
      <w:r w:rsidRPr="00BD2A6E">
        <w:rPr>
          <w:rFonts w:hint="eastAsia"/>
          <w:sz w:val="32"/>
          <w:szCs w:val="32"/>
        </w:rPr>
        <w:t>高級中等學校</w:t>
      </w:r>
      <w:proofErr w:type="gramStart"/>
      <w:r w:rsidRPr="00BD2A6E">
        <w:rPr>
          <w:rFonts w:hint="eastAsia"/>
          <w:sz w:val="32"/>
          <w:szCs w:val="32"/>
        </w:rPr>
        <w:t>建教生申訴</w:t>
      </w:r>
      <w:proofErr w:type="gramEnd"/>
      <w:r w:rsidRPr="00BD2A6E">
        <w:rPr>
          <w:rFonts w:hint="eastAsia"/>
          <w:sz w:val="32"/>
          <w:szCs w:val="32"/>
        </w:rPr>
        <w:t>審議會組織及運作辦法</w:t>
      </w:r>
    </w:p>
    <w:p w:rsidR="00BD2A6E" w:rsidRPr="00BD2A6E" w:rsidRDefault="00BD2A6E" w:rsidP="00BD2A6E">
      <w:pPr>
        <w:pStyle w:val="Default"/>
        <w:jc w:val="right"/>
      </w:pPr>
      <w:r w:rsidRPr="00BD2A6E">
        <w:rPr>
          <w:rFonts w:hint="eastAsia"/>
        </w:rPr>
        <w:t>中華民國</w:t>
      </w:r>
      <w:r w:rsidRPr="00BD2A6E">
        <w:t>102</w:t>
      </w:r>
      <w:r w:rsidRPr="00BD2A6E">
        <w:rPr>
          <w:rFonts w:hint="eastAsia"/>
        </w:rPr>
        <w:t>年</w:t>
      </w:r>
      <w:r w:rsidRPr="00BD2A6E">
        <w:t>10</w:t>
      </w:r>
      <w:r w:rsidRPr="00BD2A6E">
        <w:rPr>
          <w:rFonts w:hint="eastAsia"/>
        </w:rPr>
        <w:t>月</w:t>
      </w:r>
      <w:r w:rsidRPr="00BD2A6E">
        <w:t>25</w:t>
      </w:r>
      <w:r w:rsidRPr="00BD2A6E">
        <w:rPr>
          <w:rFonts w:hint="eastAsia"/>
        </w:rPr>
        <w:t>日</w:t>
      </w:r>
      <w:r w:rsidRPr="00BD2A6E">
        <w:t xml:space="preserve"> </w:t>
      </w:r>
    </w:p>
    <w:p w:rsidR="00BD2A6E" w:rsidRPr="00BD2A6E" w:rsidRDefault="00BD2A6E" w:rsidP="00BD2A6E">
      <w:pPr>
        <w:pStyle w:val="Default"/>
        <w:jc w:val="right"/>
      </w:pPr>
      <w:proofErr w:type="gramStart"/>
      <w:r w:rsidRPr="00BD2A6E">
        <w:rPr>
          <w:rFonts w:hint="eastAsia"/>
        </w:rPr>
        <w:t>臺</w:t>
      </w:r>
      <w:proofErr w:type="gramEnd"/>
      <w:r w:rsidRPr="00BD2A6E">
        <w:rPr>
          <w:rFonts w:hint="eastAsia"/>
        </w:rPr>
        <w:t>教授</w:t>
      </w:r>
      <w:proofErr w:type="gramStart"/>
      <w:r w:rsidRPr="00BD2A6E">
        <w:rPr>
          <w:rFonts w:hint="eastAsia"/>
        </w:rPr>
        <w:t>國部字第</w:t>
      </w:r>
      <w:r w:rsidRPr="00BD2A6E">
        <w:t>1020095006</w:t>
      </w:r>
      <w:proofErr w:type="gramEnd"/>
      <w:r w:rsidRPr="00BD2A6E">
        <w:t>B</w:t>
      </w:r>
      <w:r w:rsidRPr="00BD2A6E">
        <w:rPr>
          <w:rFonts w:hint="eastAsia"/>
        </w:rPr>
        <w:t>號令訂定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一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本辦法依高級中等學校建教合作實施及</w:t>
      </w:r>
      <w:proofErr w:type="gramStart"/>
      <w:r w:rsidRPr="00BD2A6E">
        <w:rPr>
          <w:rFonts w:hint="eastAsia"/>
        </w:rPr>
        <w:t>建教生權益</w:t>
      </w:r>
      <w:proofErr w:type="gramEnd"/>
      <w:r w:rsidRPr="00BD2A6E">
        <w:rPr>
          <w:rFonts w:hint="eastAsia"/>
        </w:rPr>
        <w:t>保障法（以下簡稱本法）第二十條第四項規定訂定之。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二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本辦法所稱高級中等學校（以下簡稱學校），指國立高級中等學校及教育部（以下簡稱本部）主管之私立高級中等學校。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三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本部為處理</w:t>
      </w:r>
      <w:proofErr w:type="gramStart"/>
      <w:r w:rsidRPr="00BD2A6E">
        <w:rPr>
          <w:rFonts w:hint="eastAsia"/>
        </w:rPr>
        <w:t>建教生申訴</w:t>
      </w:r>
      <w:proofErr w:type="gramEnd"/>
      <w:r w:rsidRPr="00BD2A6E">
        <w:rPr>
          <w:rFonts w:hint="eastAsia"/>
        </w:rPr>
        <w:t>案件，應依本法第二十條第四項規定設</w:t>
      </w:r>
      <w:proofErr w:type="gramStart"/>
      <w:r w:rsidRPr="00BD2A6E">
        <w:rPr>
          <w:rFonts w:hint="eastAsia"/>
        </w:rPr>
        <w:t>建教生申訴</w:t>
      </w:r>
      <w:proofErr w:type="gramEnd"/>
      <w:r w:rsidRPr="00BD2A6E">
        <w:rPr>
          <w:rFonts w:hint="eastAsia"/>
        </w:rPr>
        <w:t>審議會（以下簡稱審議會）。審議會置委員七人至十五人，任期二年，</w:t>
      </w:r>
      <w:proofErr w:type="gramStart"/>
      <w:r w:rsidRPr="00BD2A6E">
        <w:rPr>
          <w:rFonts w:hint="eastAsia"/>
        </w:rPr>
        <w:t>均為無</w:t>
      </w:r>
      <w:proofErr w:type="gramEnd"/>
      <w:r w:rsidRPr="00BD2A6E">
        <w:rPr>
          <w:rFonts w:hint="eastAsia"/>
        </w:rPr>
        <w:t>給職，由具備教育、心理輔導、法律、勞工等專長之學者專家組成之；其中任</w:t>
      </w:r>
      <w:proofErr w:type="gramStart"/>
      <w:r w:rsidRPr="00BD2A6E">
        <w:rPr>
          <w:rFonts w:hint="eastAsia"/>
        </w:rPr>
        <w:t>一</w:t>
      </w:r>
      <w:proofErr w:type="gramEnd"/>
      <w:r w:rsidRPr="00BD2A6E">
        <w:rPr>
          <w:rFonts w:hint="eastAsia"/>
        </w:rPr>
        <w:t>性別委員，不得少於委員總數三分之一。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審議會由本部指定委員一人擔任召集人，並為會議之主席。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四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proofErr w:type="gramStart"/>
      <w:r w:rsidRPr="00BD2A6E">
        <w:rPr>
          <w:rFonts w:hint="eastAsia"/>
        </w:rPr>
        <w:t>建教生因</w:t>
      </w:r>
      <w:proofErr w:type="gramEnd"/>
      <w:r w:rsidRPr="00BD2A6E">
        <w:rPr>
          <w:rFonts w:hint="eastAsia"/>
        </w:rPr>
        <w:t>建教合作事項發生爭議時，得依本法第二十條第一項規定，向學校申請協調，並得同時向本部提起申訴；其僅向學校申請協調且對協調結果不服者，亦得依第五條規定，向本部提起申訴。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proofErr w:type="gramStart"/>
      <w:r w:rsidRPr="00BD2A6E">
        <w:rPr>
          <w:rFonts w:hint="eastAsia"/>
        </w:rPr>
        <w:t>建教生申請</w:t>
      </w:r>
      <w:proofErr w:type="gramEnd"/>
      <w:r w:rsidRPr="00BD2A6E">
        <w:rPr>
          <w:rFonts w:hint="eastAsia"/>
        </w:rPr>
        <w:t>協調並同時或先後提起申訴者，應通知本部審議會，審議會於協調未有結果前，得暫停審議。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proofErr w:type="gramStart"/>
      <w:r w:rsidRPr="00BD2A6E">
        <w:rPr>
          <w:rFonts w:hint="eastAsia"/>
        </w:rPr>
        <w:t>建教生之</w:t>
      </w:r>
      <w:proofErr w:type="gramEnd"/>
      <w:r w:rsidRPr="00BD2A6E">
        <w:rPr>
          <w:rFonts w:hint="eastAsia"/>
        </w:rPr>
        <w:t>父母、監護人，得為</w:t>
      </w:r>
      <w:proofErr w:type="gramStart"/>
      <w:r w:rsidRPr="00BD2A6E">
        <w:rPr>
          <w:rFonts w:hint="eastAsia"/>
        </w:rPr>
        <w:t>建教生之</w:t>
      </w:r>
      <w:proofErr w:type="gramEnd"/>
      <w:r w:rsidRPr="00BD2A6E">
        <w:rPr>
          <w:rFonts w:hint="eastAsia"/>
        </w:rPr>
        <w:t>代理人提起申訴。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五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proofErr w:type="gramStart"/>
      <w:r w:rsidRPr="00BD2A6E">
        <w:rPr>
          <w:rFonts w:hint="eastAsia"/>
        </w:rPr>
        <w:t>建教生應</w:t>
      </w:r>
      <w:proofErr w:type="gramEnd"/>
      <w:r w:rsidRPr="00BD2A6E">
        <w:rPr>
          <w:rFonts w:hint="eastAsia"/>
        </w:rPr>
        <w:t>自建教合作事項發生爭議之次日或收受協調紀錄之次日起</w:t>
      </w:r>
      <w:proofErr w:type="gramStart"/>
      <w:r w:rsidRPr="00BD2A6E">
        <w:rPr>
          <w:rFonts w:hint="eastAsia"/>
        </w:rPr>
        <w:t>三</w:t>
      </w:r>
      <w:proofErr w:type="gramEnd"/>
      <w:r w:rsidRPr="00BD2A6E">
        <w:rPr>
          <w:rFonts w:hint="eastAsia"/>
        </w:rPr>
        <w:t>十日內，以書面向本部提起申訴。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本部對於逾期之申訴案件，不予受理。但申訴人因不可抗力或不可歸責於己</w:t>
      </w:r>
      <w:proofErr w:type="gramStart"/>
      <w:r w:rsidRPr="00BD2A6E">
        <w:rPr>
          <w:rFonts w:hint="eastAsia"/>
        </w:rPr>
        <w:t>之</w:t>
      </w:r>
      <w:proofErr w:type="gramEnd"/>
      <w:r w:rsidRPr="00BD2A6E">
        <w:rPr>
          <w:rFonts w:hint="eastAsia"/>
        </w:rPr>
        <w:t>事由，並提出具體證明者，不在此限。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六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proofErr w:type="gramStart"/>
      <w:r w:rsidRPr="00BD2A6E">
        <w:rPr>
          <w:rFonts w:hint="eastAsia"/>
        </w:rPr>
        <w:t>建教生提起</w:t>
      </w:r>
      <w:proofErr w:type="gramEnd"/>
      <w:r w:rsidRPr="00BD2A6E">
        <w:rPr>
          <w:rFonts w:hint="eastAsia"/>
        </w:rPr>
        <w:t>申訴，同一案件以一次為限。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申訴人於審議會未作成審議決定書前，得撤回申訴；申訴一經撤回，不得就同一案件再提起申訴。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七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審議會委員應親自出席會議，不得委託他人代理出席。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審議會委員於任期中無故缺席達二次或因故無法執行職務者，得由本部解除其委員職務，並依第三條第一項</w:t>
      </w:r>
      <w:proofErr w:type="gramStart"/>
      <w:r w:rsidRPr="00BD2A6E">
        <w:rPr>
          <w:rFonts w:hint="eastAsia"/>
        </w:rPr>
        <w:t>規定補聘</w:t>
      </w:r>
      <w:proofErr w:type="gramEnd"/>
      <w:r w:rsidRPr="00BD2A6E">
        <w:rPr>
          <w:rFonts w:hint="eastAsia"/>
        </w:rPr>
        <w:t>，繼任委員之任期至原任期屆滿之日止。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審議會開會時，應有全體委員三分之二以上出席，並有出席委員過半數之同意，始得決議。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八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審議會委員於審議案件有利害關係者，應予迴避；其迴避，依行政程序法之規定。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九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審議會會議之舉行，以不公開為原則，得通知申訴人、建教合作機構、學校或其他關係人到會說明。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十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審議會應於收到申訴書之次日起六十日內為審議之決定；必要時，得延長一次，延長時間不得逾三十日，由本部以書面通知申訴人，並</w:t>
      </w:r>
      <w:proofErr w:type="gramStart"/>
      <w:r w:rsidRPr="00BD2A6E">
        <w:rPr>
          <w:rFonts w:hint="eastAsia"/>
        </w:rPr>
        <w:t>副知建教</w:t>
      </w:r>
      <w:proofErr w:type="gramEnd"/>
      <w:r w:rsidRPr="00BD2A6E">
        <w:rPr>
          <w:rFonts w:hint="eastAsia"/>
        </w:rPr>
        <w:t>合作機構及學校。</w:t>
      </w:r>
      <w:r w:rsidRPr="00BD2A6E">
        <w:t xml:space="preserve"> </w:t>
      </w:r>
    </w:p>
    <w:p w:rsidR="00BD2A6E" w:rsidRPr="00BD2A6E" w:rsidRDefault="00BD2A6E" w:rsidP="00BD2A6E">
      <w:pPr>
        <w:pStyle w:val="Default"/>
        <w:pageBreakBefore/>
      </w:pPr>
      <w:r w:rsidRPr="00BD2A6E">
        <w:rPr>
          <w:rFonts w:hint="eastAsia"/>
        </w:rPr>
        <w:lastRenderedPageBreak/>
        <w:t>第</w:t>
      </w:r>
      <w:r w:rsidRPr="00BD2A6E">
        <w:t xml:space="preserve"> </w:t>
      </w:r>
      <w:r w:rsidRPr="00BD2A6E">
        <w:rPr>
          <w:rFonts w:hint="eastAsia"/>
        </w:rPr>
        <w:t>十一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審議會應對申訴案件提出討論及審議，經審議後作成之審議決定書，應由審議會主席簽署。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審議會之審議、表決及其他委員個別意見，應予保密，涉及</w:t>
      </w:r>
      <w:proofErr w:type="gramStart"/>
      <w:r w:rsidRPr="00BD2A6E">
        <w:rPr>
          <w:rFonts w:hint="eastAsia"/>
        </w:rPr>
        <w:t>建教生及</w:t>
      </w:r>
      <w:proofErr w:type="gramEnd"/>
      <w:r w:rsidRPr="00BD2A6E">
        <w:rPr>
          <w:rFonts w:hint="eastAsia"/>
        </w:rPr>
        <w:t>申訴人之個人資料，應依個人資料保護法及其相關法規規定辦理。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審議決定書應包括主文、事實、理由等內容。不受理之申訴案件，亦應作成審議決定書，明列主文及理由。</w:t>
      </w:r>
      <w:r w:rsidRPr="00BD2A6E">
        <w:t xml:space="preserve"> </w:t>
      </w:r>
    </w:p>
    <w:p w:rsidR="00BD2A6E" w:rsidRPr="00BD2A6E" w:rsidRDefault="00BD2A6E" w:rsidP="00BD2A6E">
      <w:pPr>
        <w:pStyle w:val="Default"/>
      </w:pPr>
      <w:r w:rsidRPr="00BD2A6E">
        <w:rPr>
          <w:rFonts w:hint="eastAsia"/>
        </w:rPr>
        <w:t>第</w:t>
      </w:r>
      <w:r w:rsidRPr="00BD2A6E">
        <w:t xml:space="preserve"> </w:t>
      </w:r>
      <w:r w:rsidRPr="00BD2A6E">
        <w:rPr>
          <w:rFonts w:hint="eastAsia"/>
        </w:rPr>
        <w:t>十二</w:t>
      </w:r>
      <w:r w:rsidRPr="00BD2A6E">
        <w:t xml:space="preserve"> </w:t>
      </w:r>
      <w:r w:rsidRPr="00BD2A6E">
        <w:rPr>
          <w:rFonts w:hint="eastAsia"/>
        </w:rPr>
        <w:t>條</w:t>
      </w:r>
      <w:r w:rsidRPr="00BD2A6E">
        <w:t xml:space="preserve"> </w:t>
      </w:r>
      <w:r w:rsidRPr="00BD2A6E">
        <w:rPr>
          <w:rFonts w:hint="eastAsia"/>
        </w:rPr>
        <w:t>審議會作成審議決定書送達申訴人後，建教合作機構應依審議決定確實執行。</w:t>
      </w:r>
      <w:r w:rsidRPr="00BD2A6E">
        <w:t xml:space="preserve"> </w:t>
      </w:r>
    </w:p>
    <w:p w:rsidR="002A063A" w:rsidRPr="00BD2A6E" w:rsidRDefault="00BD2A6E" w:rsidP="00BD2A6E">
      <w:pPr>
        <w:rPr>
          <w:szCs w:val="24"/>
        </w:rPr>
      </w:pPr>
      <w:r w:rsidRPr="00BD2A6E">
        <w:rPr>
          <w:rFonts w:hint="eastAsia"/>
          <w:szCs w:val="24"/>
        </w:rPr>
        <w:t>第</w:t>
      </w:r>
      <w:r w:rsidRPr="00BD2A6E">
        <w:rPr>
          <w:szCs w:val="24"/>
        </w:rPr>
        <w:t xml:space="preserve"> </w:t>
      </w:r>
      <w:r w:rsidRPr="00BD2A6E">
        <w:rPr>
          <w:rFonts w:hint="eastAsia"/>
          <w:szCs w:val="24"/>
        </w:rPr>
        <w:t>十三</w:t>
      </w:r>
      <w:r w:rsidRPr="00BD2A6E">
        <w:rPr>
          <w:szCs w:val="24"/>
        </w:rPr>
        <w:t xml:space="preserve"> </w:t>
      </w:r>
      <w:r w:rsidRPr="00BD2A6E">
        <w:rPr>
          <w:rFonts w:hint="eastAsia"/>
          <w:szCs w:val="24"/>
        </w:rPr>
        <w:t>條</w:t>
      </w:r>
      <w:r w:rsidRPr="00BD2A6E">
        <w:rPr>
          <w:szCs w:val="24"/>
        </w:rPr>
        <w:t xml:space="preserve"> </w:t>
      </w:r>
      <w:r w:rsidRPr="00BD2A6E">
        <w:rPr>
          <w:rFonts w:hint="eastAsia"/>
          <w:szCs w:val="24"/>
        </w:rPr>
        <w:t>本辦法自發布日施行</w:t>
      </w:r>
      <w:bookmarkStart w:id="0" w:name="_GoBack"/>
      <w:bookmarkEnd w:id="0"/>
      <w:r w:rsidRPr="00BD2A6E">
        <w:rPr>
          <w:rFonts w:hint="eastAsia"/>
          <w:szCs w:val="24"/>
        </w:rPr>
        <w:t>。</w:t>
      </w:r>
    </w:p>
    <w:sectPr w:rsidR="002A063A" w:rsidRPr="00BD2A6E" w:rsidSect="00BD2A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D5" w:rsidRDefault="002611D5" w:rsidP="00BD2A6E">
      <w:r>
        <w:separator/>
      </w:r>
    </w:p>
  </w:endnote>
  <w:endnote w:type="continuationSeparator" w:id="0">
    <w:p w:rsidR="002611D5" w:rsidRDefault="002611D5" w:rsidP="00BD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新細明體a.唇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D5" w:rsidRDefault="002611D5" w:rsidP="00BD2A6E">
      <w:r>
        <w:separator/>
      </w:r>
    </w:p>
  </w:footnote>
  <w:footnote w:type="continuationSeparator" w:id="0">
    <w:p w:rsidR="002611D5" w:rsidRDefault="002611D5" w:rsidP="00BD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2B"/>
    <w:rsid w:val="002611D5"/>
    <w:rsid w:val="002A063A"/>
    <w:rsid w:val="0059042B"/>
    <w:rsid w:val="00B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A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A6E"/>
    <w:rPr>
      <w:sz w:val="20"/>
      <w:szCs w:val="20"/>
    </w:rPr>
  </w:style>
  <w:style w:type="paragraph" w:customStyle="1" w:styleId="Default">
    <w:name w:val="Default"/>
    <w:rsid w:val="00BD2A6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A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A6E"/>
    <w:rPr>
      <w:sz w:val="20"/>
      <w:szCs w:val="20"/>
    </w:rPr>
  </w:style>
  <w:style w:type="paragraph" w:customStyle="1" w:styleId="Default">
    <w:name w:val="Default"/>
    <w:rsid w:val="00BD2A6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2</cp:revision>
  <dcterms:created xsi:type="dcterms:W3CDTF">2016-09-19T01:10:00Z</dcterms:created>
  <dcterms:modified xsi:type="dcterms:W3CDTF">2016-09-19T01:11:00Z</dcterms:modified>
</cp:coreProperties>
</file>