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sz w:val="32"/>
          <w:szCs w:val="32"/>
        </w:rPr>
      </w:pPr>
      <w:r w:rsidRPr="004B702C">
        <w:rPr>
          <w:rFonts w:hint="eastAsia"/>
          <w:sz w:val="32"/>
          <w:szCs w:val="32"/>
        </w:rPr>
        <w:t>高級中等學校實習課程實施辦法</w:t>
      </w:r>
    </w:p>
    <w:p w:rsidR="00AD4872" w:rsidRDefault="00AD4872" w:rsidP="00AD4872">
      <w:pPr>
        <w:widowControl/>
        <w:shd w:val="clear" w:color="auto" w:fill="E4F6F6"/>
        <w:spacing w:before="100" w:beforeAutospacing="1" w:after="100" w:afterAutospacing="1"/>
        <w:jc w:val="right"/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</w:rPr>
        <w:t>107年8月9日教育部臺教授國部字第1070084551B號令</w:t>
      </w:r>
      <w:bookmarkStart w:id="0" w:name="_GoBack"/>
      <w:bookmarkEnd w:id="0"/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本辦法依高級中等教育法第四十四條第二項規定訂定之。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2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本辦法適用於技術型高級中等學校。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綜合型高級中等學校之實習課程及普通型高級中等學校設有專業群、科、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綜合高中學程之實習課程，準用本辦法之規定。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3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本辦法所稱實習課程，指高級中等學校課程綱要規定由教育部部定及學校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自定，包括實驗、實務之專業實習課程。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前項實習課程，應依群、科、學程屬性、產業發展趨勢、學校特色及學生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就業準備與專業預備，規劃實習之科目。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4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實習課程之教學目標為依務實致用之原則，本於專業理論知識，進行實務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操作，以培養學生專業技能、職業道德及安全與衛生觀念，提升學生就業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及繼續進修所需基本知能。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5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實習課程得依其實施場所，分為下列三種方式進行：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一、校內實習：學生於學期中，在校內實習工場、專科教室、實驗室或其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    他相關實習場所（以下簡稱校內實習場所）實習。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二、校外實習：學生於學期中，每學期以六星期為限，在校外實習合作機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    構實習。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三、校內併校外實習：學生於學期中，在校內實習場所及校外實習合作機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    構實習。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6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校內實習場所與校外實習合作機構之設施及設備，應符合建築、消防、職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業安全衛生、營業衛生、性別友善空間及其他相關法規之規定。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7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學校辦理校內實習，每班人數二十五人以上者，得依課程需求分組上課，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lastRenderedPageBreak/>
        <w:t>以二組為限。但情形特殊報各該主管機關核准者，不在此限。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學校實施校內實習課程時，得辦理校外職場參觀，強化學生對職場之了解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8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學校辦理校外實習前，應組成小組，對校外實習合作機構進行評估，作成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評估報告，並擬訂合作契約草案。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前項評估報告之內容，應包括設施與設備符合第六條規定，及工作內涵與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實習技能項目之相關性。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第一項合作契約草案內容，應包括實習起迄期間、每日實習時段、實習內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容、公共意外責任保險、住宿或交通安排及其他學生與校外實習合作機構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之權利義務。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9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校外實習合作機構經依前條規定評估通過者，學校應擬訂校外實習計畫，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連同前條評估報告及合作契約草案提學校課程發展委員會審查通過；其計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畫之內容如下：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一、實習科別、年級、科目及學生數。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二、校外實習起迄期間及每日實習時段。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三、校外實習之技能項目與該科目教學綱要之對照表。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四、校外實習合作機構對學生之輔導、師資、公共意外責任保險、住宿或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    交通安排。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10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校外實習計畫經依前條第一項規定審查通過後，學校應與校外實習合作機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構簽訂合作契約，並將合作契約連同實習計畫，報各該主管機關備查。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11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學校辦理校內併校外實習，其校外實習，準用第六條、第八條至前條規定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辦理。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12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校內併校外實習時，校外實習節數，不得超過該實習課程整學期授課節數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三分之一。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13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學校不得為一年級學生辦理校外實習或校內併校外實習。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14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lastRenderedPageBreak/>
        <w:t>實習課程，得分散於每星期固定時間實施，或集中在一定期間內實施；其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授課節數及學分採計方式如下：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一、校內實習或校內併校外實習：每一科目學分之計算，以每學期每星期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    授課一節，或總授課節數達十八節者，為一學分。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二、校外實習：實習時數達七十二小時者，始得採計為一學分，每學期以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    二學分為限。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15 條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 w:hint="eastAsia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實習課程之師資，應由該科專任或兼任之合格教師擔任，並得遴聘業界專</w:t>
      </w:r>
    </w:p>
    <w:p w:rsidR="00AD4872" w:rsidRPr="00AD4872" w:rsidRDefault="00AD4872" w:rsidP="00AD4872">
      <w:pPr>
        <w:widowControl/>
        <w:shd w:val="clear" w:color="auto" w:fill="E4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2" w:lineRule="atLeast"/>
        <w:rPr>
          <w:rFonts w:ascii="Courier New" w:eastAsia="細明體" w:hAnsi="Courier New" w:cs="Courier New"/>
          <w:color w:val="000000"/>
          <w:kern w:val="0"/>
          <w:szCs w:val="24"/>
        </w:rPr>
      </w:pPr>
      <w:r w:rsidRPr="00AD4872">
        <w:rPr>
          <w:rFonts w:ascii="細明體" w:eastAsia="細明體" w:hAnsi="細明體" w:cs="Courier New" w:hint="eastAsia"/>
          <w:color w:val="000000"/>
          <w:kern w:val="0"/>
          <w:szCs w:val="24"/>
        </w:rPr>
        <w:t>家協同教學。</w:t>
      </w:r>
    </w:p>
    <w:p w:rsidR="00AD4872" w:rsidRPr="00AD4872" w:rsidRDefault="00AD4872" w:rsidP="00AD4872">
      <w:pPr>
        <w:widowControl/>
        <w:shd w:val="clear" w:color="auto" w:fill="E4F6F6"/>
        <w:spacing w:before="100" w:beforeAutospacing="1" w:after="100" w:afterAutospacing="1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AD4872">
        <w:rPr>
          <w:rFonts w:ascii="細明體" w:eastAsia="細明體" w:hAnsi="細明體" w:cs="新細明體" w:hint="eastAsia"/>
          <w:b/>
          <w:bCs/>
          <w:color w:val="000000"/>
          <w:kern w:val="0"/>
          <w:szCs w:val="24"/>
        </w:rPr>
        <w:t>第 16 條</w:t>
      </w:r>
      <w:r w:rsidRPr="00AD4872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本辦法自中華民國一百零三年八月一日施行。</w:t>
      </w:r>
    </w:p>
    <w:p w:rsidR="004B702C" w:rsidRPr="00AD4872" w:rsidRDefault="004B702C" w:rsidP="004B702C">
      <w:pPr>
        <w:pStyle w:val="Default"/>
      </w:pPr>
    </w:p>
    <w:p w:rsidR="004B702C" w:rsidRPr="004B702C" w:rsidRDefault="004B702C" w:rsidP="004B702C">
      <w:pPr>
        <w:pStyle w:val="Default"/>
        <w:rPr>
          <w:sz w:val="32"/>
          <w:szCs w:val="32"/>
        </w:rPr>
      </w:pPr>
      <w:r>
        <w:t xml:space="preserve"> </w:t>
      </w:r>
      <w:r w:rsidRPr="004B702C">
        <w:rPr>
          <w:rFonts w:hint="eastAsia"/>
          <w:sz w:val="32"/>
          <w:szCs w:val="32"/>
        </w:rPr>
        <w:t>高級中等學校實習課程實施辦法</w:t>
      </w:r>
      <w:r w:rsidRPr="004B702C">
        <w:rPr>
          <w:sz w:val="32"/>
          <w:szCs w:val="32"/>
        </w:rPr>
        <w:t xml:space="preserve"> </w:t>
      </w:r>
    </w:p>
    <w:p w:rsidR="004B702C" w:rsidRPr="004B702C" w:rsidRDefault="004B702C" w:rsidP="004B702C">
      <w:pPr>
        <w:pStyle w:val="Default"/>
        <w:jc w:val="right"/>
      </w:pPr>
      <w:r w:rsidRPr="004B702C">
        <w:rPr>
          <w:rFonts w:hint="eastAsia"/>
        </w:rPr>
        <w:t>中華民國</w:t>
      </w:r>
      <w:r w:rsidRPr="004B702C">
        <w:t>103</w:t>
      </w:r>
      <w:r w:rsidRPr="004B702C">
        <w:rPr>
          <w:rFonts w:hint="eastAsia"/>
        </w:rPr>
        <w:t>年</w:t>
      </w:r>
      <w:r w:rsidRPr="004B702C">
        <w:t>1</w:t>
      </w:r>
      <w:r w:rsidRPr="004B702C">
        <w:rPr>
          <w:rFonts w:hint="eastAsia"/>
        </w:rPr>
        <w:t>月</w:t>
      </w:r>
      <w:r w:rsidRPr="004B702C">
        <w:t>7</w:t>
      </w:r>
      <w:r w:rsidRPr="004B702C">
        <w:rPr>
          <w:rFonts w:hint="eastAsia"/>
        </w:rPr>
        <w:t>日</w:t>
      </w:r>
      <w:r w:rsidRPr="004B702C">
        <w:t xml:space="preserve"> </w:t>
      </w:r>
    </w:p>
    <w:p w:rsidR="004B702C" w:rsidRPr="004B702C" w:rsidRDefault="004B702C" w:rsidP="004B702C">
      <w:pPr>
        <w:pStyle w:val="Default"/>
        <w:jc w:val="right"/>
      </w:pPr>
      <w:r w:rsidRPr="004B702C">
        <w:rPr>
          <w:rFonts w:hint="eastAsia"/>
        </w:rPr>
        <w:t>臺教授國部字第</w:t>
      </w:r>
      <w:r w:rsidRPr="004B702C">
        <w:t>1020134512A</w:t>
      </w:r>
      <w:r w:rsidRPr="004B702C">
        <w:rPr>
          <w:rFonts w:hint="eastAsia"/>
        </w:rPr>
        <w:t>號令訂定</w:t>
      </w:r>
      <w:r w:rsidRPr="004B702C"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本辦法依高級中等教育法第四十四條第二項規定訂定之。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本辦法適用於技術型高級中等學校。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綜合型高級中等學校之實習課程及普通型高級中等學校設有專業群、科、綜合高中學程之實習課程，準用本辦法之規定。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本辦法所稱實習課程，指高級中等學校課程綱要規定由教育部部定及學校自定，包括實驗、實務之專業實習課程。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前項實習課程，應依群、科、學程屬性、產業發展趨勢、學校特色及學生就業準備與專業預備，規劃實習之科目。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四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實習課程之教學目標為依務實致用之原則，本於專業理論知識，進行實務操作，以培養學生專業技能、職業道德及安全與衛生觀念，提升學生就業及繼續進修所需基本知能。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五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實習課程得依其實施場所，分為下列三種方式進行：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一、校內實習：學生於學期中，在校內實習工場、專科教室、實驗室或其他相關實習場所（以下簡稱校內實習場所）實習。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二、校外實習：學生於學期中，每學期以六星期為限，在校外實習合作機構實習。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三、校內併校外實習：學生於學期中，在校內實習場所及校外實習合作機構實習。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六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校內實習場所與校外實習合作機構之設施及設備，應符合建築、消防、職業安全衛生、營業衛生、性別友善空間及其他相關法規之規定。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七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學校辦理校內實習，每班人數二十五人以上者，得依課程需求分組上課，以二組為限。但情形特殊報各該主管機關核准者，不在此限。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學校實施校內實習課程時，得辦理校外職場參觀，強化學生對職場之了解。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八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學校辦理校外實習前，應組成小組，對校外實習合作機構進行評估，作成評估報告，並擬訂合作契約草案。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前項評估報告之內容，應包括設施與設備符合第六條規定，及工作內涵與實習技能項目之相關性。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第一項合作契約草案內容，應包括實習起迄期間、每日實習時段、實習內容、公共意外責任保險、住宿或交通安排及其他學生與校外實習合作機構之權利義務。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校外實習合作機構經依前條規定評估通過者，學校應擬訂校外實習計畫，連同前條評估報告及合作契約草案提學校課程發展委員會審查通過；其計畫之內容如下：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一、實習科別、年級、科目及學生數。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二、校外實習起迄期間及每日實習時段。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pageBreakBefore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三、校外實習之技能項目與該科目教學綱要之對照表。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四、校外實習合作機構對學生之輔導、師資、公共意外責任保險、住宿或交通安排。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校外實習計畫經依前條第一項規定審查通過後，學校應與校外實習合作機構簽訂合作契約，並將合作契約連同實習計畫，報各該主管機關備查。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十一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學校辦理校內併校外實習，其校外實習，準用第六條、第八條至前條規定辦理。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十二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校內併校外實習時，校外實習節數，不得超過該實習課程整學期授課節數三分之一。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十三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學校不得為一年級學生辦理校外實習或校內併校外實習。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十四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實習課程，得分散於每星期固定時間實施，或集中在一定期間內實施；其授課節數及學分採計方式如下：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一、校內實習或校內併校外實習：每一科目學分之計算，以每學期每星期授課一節，或總授課節數達十八節者，為一學分。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二、校外實習：實習時數達七十二小時者，始得採計為一學分，每學期以二學分為限。</w:t>
      </w:r>
      <w:r>
        <w:rPr>
          <w:sz w:val="23"/>
          <w:szCs w:val="23"/>
        </w:rPr>
        <w:t xml:space="preserve"> </w:t>
      </w:r>
    </w:p>
    <w:p w:rsidR="004B702C" w:rsidRDefault="004B702C" w:rsidP="004B702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十五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實習課程之師資，應由該科專任或兼任之合格教師擔任，並得遴聘業界專家協同教學。</w:t>
      </w:r>
      <w:r>
        <w:rPr>
          <w:sz w:val="23"/>
          <w:szCs w:val="23"/>
        </w:rPr>
        <w:t xml:space="preserve"> </w:t>
      </w:r>
    </w:p>
    <w:p w:rsidR="004B702C" w:rsidRDefault="004B702C" w:rsidP="004B702C">
      <w:r>
        <w:rPr>
          <w:rFonts w:hint="eastAsia"/>
          <w:sz w:val="23"/>
          <w:szCs w:val="23"/>
        </w:rPr>
        <w:t>第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十六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條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本辦法自中華民國一百零三年八月一日施行。</w:t>
      </w:r>
    </w:p>
    <w:sectPr w:rsidR="004B702C" w:rsidSect="004B70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BD" w:rsidRDefault="004032BD" w:rsidP="004B702C">
      <w:r>
        <w:separator/>
      </w:r>
    </w:p>
  </w:endnote>
  <w:endnote w:type="continuationSeparator" w:id="0">
    <w:p w:rsidR="004032BD" w:rsidRDefault="004032BD" w:rsidP="004B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BD" w:rsidRDefault="004032BD" w:rsidP="004B702C">
      <w:r>
        <w:separator/>
      </w:r>
    </w:p>
  </w:footnote>
  <w:footnote w:type="continuationSeparator" w:id="0">
    <w:p w:rsidR="004032BD" w:rsidRDefault="004032BD" w:rsidP="004B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3C"/>
    <w:rsid w:val="002A063A"/>
    <w:rsid w:val="004032BD"/>
    <w:rsid w:val="004B702C"/>
    <w:rsid w:val="009B103C"/>
    <w:rsid w:val="00A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B95BB2"/>
  <w15:docId w15:val="{F69AE945-9985-42D7-B786-6F97F2B2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70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702C"/>
    <w:rPr>
      <w:sz w:val="20"/>
      <w:szCs w:val="20"/>
    </w:rPr>
  </w:style>
  <w:style w:type="paragraph" w:customStyle="1" w:styleId="Default">
    <w:name w:val="Default"/>
    <w:rsid w:val="004B702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AD48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AD487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D48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D4872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</dc:creator>
  <cp:keywords/>
  <dc:description/>
  <cp:lastModifiedBy>practice</cp:lastModifiedBy>
  <cp:revision>3</cp:revision>
  <dcterms:created xsi:type="dcterms:W3CDTF">2016-09-19T05:07:00Z</dcterms:created>
  <dcterms:modified xsi:type="dcterms:W3CDTF">2018-08-10T03:43:00Z</dcterms:modified>
</cp:coreProperties>
</file>